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1" w:name="_GoBack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169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  <w:bookmarkEnd w:id="1"/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中岩私募股权投资基金管理（广州）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lang w:eastAsia="zh-CN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44"/>
        </w:rPr>
        <w:t>采取出具警示函措施的决定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中岩私募股权投资基金管理（广州）有限公司：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经查，你公司在开展私募投资基金管理业务活动期间，存在以下违规问题：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未谨慎勤勉履行管理人职责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b/>
          <w:bCs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b w:val="0"/>
          <w:bCs w:val="0"/>
          <w:spacing w:val="0"/>
          <w:sz w:val="32"/>
          <w:szCs w:val="32"/>
          <w:lang w:val="en-US" w:eastAsia="zh-CN"/>
        </w:rPr>
        <w:t>未对投资者的风险识别能力和风险承担能力进行评估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按规定向投资者进行信息披露。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上述行为违反了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105号，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以下简称《私募办法》）第四条第一款、第十六条第一款、第二十四条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根据《私募办法》第三十三条的规定，现决定对你公司采取出具警示函的监督管理措施。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有效的整改措施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2"/>
          <w:szCs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317" w:firstLineChars="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抄送：证监会市场二司、法治司；中国证券投资基金业协会。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10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15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9B3B"/>
    <w:rsid w:val="7EBE699B"/>
    <w:rsid w:val="7FEFE6CC"/>
    <w:rsid w:val="BD9F6188"/>
    <w:rsid w:val="FBEB9247"/>
    <w:rsid w:val="FC26978F"/>
    <w:rsid w:val="FDFE9B3B"/>
    <w:rsid w:val="FF7F11E4"/>
    <w:rsid w:val="FFD7D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529</Characters>
  <Lines>0</Lines>
  <Paragraphs>0</Paragraphs>
  <TotalTime>1</TotalTime>
  <ScaleCrop>false</ScaleCrop>
  <LinksUpToDate>false</LinksUpToDate>
  <CharactersWithSpaces>569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2024-09-26T11:59:00Z</dcterms:created>
  <dc:creator>林小仪</dc:creator>
  <cp:lastModifiedBy>林小仪</cp:lastModifiedBy>
  <cp:lastPrinted>2024-09-27T17:34:00Z</cp:lastPrinted>
  <dcterms:modified xsi:type="dcterms:W3CDTF">2024-10-17T13:44:43Z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3E635B723164810F73610F67F998A2CA</vt:lpwstr>
  </property>
</Properties>
</file>