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bookmarkStart w:id="1" w:name="_GoBack"/>
      <w:bookmarkEnd w:id="1"/>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40"/>
          <w:szCs w:val="40"/>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5</w:t>
      </w:r>
      <w:r>
        <w:rPr>
          <w:rFonts w:hint="eastAsia" w:ascii="仿宋_GB2312" w:hAnsi="Times New Roman" w:eastAsia="仿宋_GB2312" w:cs="Times New Roman"/>
          <w:color w:val="000000"/>
          <w:spacing w:val="12"/>
          <w:sz w:val="28"/>
        </w:rPr>
        <w:t>〕</w:t>
      </w:r>
      <w:r>
        <w:rPr>
          <w:rFonts w:hint="default" w:ascii="仿宋_GB2312" w:eastAsia="仿宋_GB2312" w:cs="Times New Roman"/>
          <w:color w:val="000000"/>
          <w:spacing w:val="12"/>
          <w:sz w:val="28"/>
          <w:lang w:val="en-US"/>
        </w:rPr>
        <w:t>15</w:t>
      </w:r>
      <w:r>
        <w:rPr>
          <w:rFonts w:hint="eastAsia" w:ascii="仿宋_GB2312" w:hAnsi="Times New Roman" w:eastAsia="仿宋_GB2312" w:cs="Times New Roman"/>
          <w:color w:val="000000"/>
          <w:spacing w:val="12"/>
          <w:sz w:val="28"/>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MwvtZLWAAAA&#10;CAEAAA8AAAAAAAAAAQAgAAAAOAAAAGRycy9kb3ducmV2LnhtbFBLAQIUABQAAAAIAIdO4kAPjv5j&#10;/QEAAPUDAAAOAAAAAAAAAAEAIAAAADsBAABkcnMvZTJvRG9jLnhtbFBLAQIUAAoAAAAAAIdO4kAA&#10;AAAAAAAAAAAAAAAEAAAAAAAAAAAAEAAAABYAAABkcnMvUEsBAhQACgAAAAAAh07iQAAAAAAAAAAA&#10;AAAAAAYAAAAAAAAAAAAQAAAAZAMAAF9yZWxzL1BLBQYAAAAABgAGAFkBAACqBQAAAAA=&#10;">
                <v:fill on="f" focussize="0,0"/>
                <v:stroke weight="1pt" color="#FF0000" joinstyle="round"/>
                <v:imagedata o:title=""/>
                <o:lock v:ext="edit" aspectratio="f"/>
              </v:line>
            </w:pict>
          </mc:Fallback>
        </mc:AlternateContent>
      </w:r>
    </w:p>
    <w:p>
      <w:pPr>
        <w:jc w:val="center"/>
        <w:rPr>
          <w:rFonts w:hint="eastAsia"/>
          <w:sz w:val="28"/>
          <w:szCs w:val="28"/>
        </w:rPr>
      </w:pPr>
    </w:p>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宋体"/>
          <w:spacing w:val="0"/>
          <w:kern w:val="0"/>
          <w:sz w:val="44"/>
          <w:szCs w:val="44"/>
        </w:rPr>
      </w:pPr>
      <w:bookmarkStart w:id="0" w:name="quanwen"/>
      <w:r>
        <w:rPr>
          <w:rFonts w:hint="eastAsia" w:ascii="方正小标宋简体" w:hAnsi="方正小标宋简体" w:eastAsia="方正小标宋简体" w:cs="宋体"/>
          <w:spacing w:val="0"/>
          <w:kern w:val="0"/>
          <w:sz w:val="44"/>
          <w:szCs w:val="44"/>
        </w:rPr>
        <w:t>关于</w:t>
      </w:r>
      <w:r>
        <w:rPr>
          <w:rFonts w:hint="eastAsia" w:ascii="方正小标宋简体" w:hAnsi="方正小标宋简体" w:eastAsia="方正小标宋简体" w:cs="宋体"/>
          <w:spacing w:val="0"/>
          <w:kern w:val="0"/>
          <w:sz w:val="44"/>
          <w:szCs w:val="44"/>
          <w:lang w:eastAsia="zh-CN"/>
        </w:rPr>
        <w:t>对</w:t>
      </w:r>
      <w:r>
        <w:rPr>
          <w:rFonts w:hint="default" w:ascii="方正小标宋简体" w:hAnsi="方正小标宋简体" w:eastAsia="方正小标宋简体" w:cs="宋体"/>
          <w:spacing w:val="0"/>
          <w:kern w:val="0"/>
          <w:sz w:val="44"/>
          <w:szCs w:val="44"/>
          <w:lang w:val="en" w:eastAsia="zh-CN"/>
        </w:rPr>
        <w:t>李广辉</w:t>
      </w:r>
      <w:r>
        <w:rPr>
          <w:rFonts w:hint="eastAsia" w:ascii="方正小标宋简体" w:hAnsi="方正小标宋简体" w:eastAsia="方正小标宋简体" w:cs="宋体"/>
          <w:spacing w:val="0"/>
          <w:kern w:val="0"/>
          <w:sz w:val="44"/>
          <w:szCs w:val="44"/>
        </w:rPr>
        <w:t>采取</w:t>
      </w:r>
      <w:r>
        <w:rPr>
          <w:rFonts w:hint="eastAsia" w:ascii="方正小标宋简体" w:hAnsi="方正小标宋简体" w:eastAsia="方正小标宋简体" w:cs="宋体"/>
          <w:spacing w:val="0"/>
          <w:kern w:val="0"/>
          <w:sz w:val="44"/>
          <w:szCs w:val="44"/>
          <w:lang w:eastAsia="zh-CN"/>
        </w:rPr>
        <w:t>监管谈话</w:t>
      </w:r>
      <w:r>
        <w:rPr>
          <w:rFonts w:hint="eastAsia" w:ascii="方正小标宋简体" w:hAnsi="方正小标宋简体" w:eastAsia="方正小标宋简体" w:cs="宋体"/>
          <w:spacing w:val="0"/>
          <w:kern w:val="0"/>
          <w:sz w:val="44"/>
          <w:szCs w:val="44"/>
        </w:rPr>
        <w:t>措施的决定</w:t>
      </w:r>
    </w:p>
    <w:p>
      <w:pPr>
        <w:pStyle w:val="2"/>
        <w:snapToGrid w:val="0"/>
        <w:spacing w:beforeLines="0" w:afterLines="0"/>
        <w:rPr>
          <w:rFonts w:hint="eastAsia" w:ascii="方正小标宋简体" w:hAnsi="方正小标宋简体" w:eastAsia="方正小标宋简体" w:cs="方正小标宋简体"/>
          <w:sz w:val="32"/>
          <w:szCs w:val="32"/>
        </w:rPr>
      </w:pPr>
    </w:p>
    <w:p>
      <w:pPr>
        <w:overflowPunct w:val="0"/>
        <w:adjustRightInd w:val="0"/>
        <w:snapToGrid w:val="0"/>
        <w:spacing w:beforeLines="0" w:afterLines="0" w:line="336" w:lineRule="auto"/>
        <w:rPr>
          <w:rFonts w:hint="eastAsia" w:ascii="仿宋_GB2312" w:hAnsi="仿宋_GB2312" w:eastAsia="仿宋_GB2312" w:cs="仿宋_GB2312"/>
          <w:sz w:val="32"/>
          <w:szCs w:val="32"/>
          <w:lang w:eastAsia="zh-CN"/>
        </w:rPr>
      </w:pPr>
      <w:r>
        <w:rPr>
          <w:rFonts w:hint="default" w:ascii="仿宋_GB2312" w:hAnsi="仿宋_GB2312" w:eastAsia="仿宋_GB2312" w:cs="仿宋_GB2312"/>
          <w:color w:val="000000"/>
          <w:kern w:val="0"/>
          <w:sz w:val="32"/>
          <w:szCs w:val="32"/>
          <w:highlight w:val="none"/>
          <w:lang w:val="en" w:eastAsia="zh-CN"/>
        </w:rPr>
        <w:t>李广辉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经查，平安证券股份有限公司（以下简称平安证券）是昆腾微电子股份有限公司（以下简称昆腾微）首次公开发行股票并在科创板上市的保荐机构。为避免昆腾微第一大股东向管理层及员工低价转让股份事项构成股份支付，平安证券项目组为昆腾微设计解决方案并推动实施，以掩盖真实交易。上述事项导致昆腾微申请首次公开发行股票并在科创板上市申请文件存在虚假记载。</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你作为该项目的签字保荐代表人，参与沟通设计了上述解决方案。上述行为违反了《证券发行上市保荐业务管理办法》(证监会令170号）第五条第一款的规定。根据《证券发行上市保荐业务管理办法》（证监会令第170号）第六十五条的规定，我局决定对你采取监管谈话的行政监管措施。</w:t>
      </w:r>
      <w:r>
        <w:rPr>
          <w:rFonts w:hint="eastAsia" w:ascii="仿宋_GB2312" w:hAnsi="仿宋_GB2312" w:eastAsia="仿宋_GB2312" w:cs="仿宋_GB2312"/>
          <w:color w:val="000000"/>
          <w:sz w:val="32"/>
          <w:szCs w:val="32"/>
          <w:lang w:val="en-US" w:eastAsia="zh-CN"/>
        </w:rPr>
        <w:t>请你于2025年2月8</w:t>
      </w:r>
      <w:r>
        <w:rPr>
          <w:rFonts w:hint="eastAsia" w:ascii="仿宋_GB2312" w:hAnsi="仿宋_GB2312" w:eastAsia="仿宋_GB2312" w:cs="仿宋_GB2312"/>
          <w:color w:val="000000"/>
          <w:sz w:val="32"/>
          <w:szCs w:val="32"/>
          <w:highlight w:val="none"/>
          <w:lang w:val="en-US" w:eastAsia="zh-CN"/>
        </w:rPr>
        <w:t>日上</w:t>
      </w:r>
      <w:r>
        <w:rPr>
          <w:rFonts w:hint="eastAsia" w:ascii="仿宋_GB2312" w:hAnsi="仿宋_GB2312" w:eastAsia="仿宋_GB2312" w:cs="仿宋_GB2312"/>
          <w:color w:val="000000"/>
          <w:sz w:val="32"/>
          <w:szCs w:val="32"/>
          <w:lang w:val="en-US" w:eastAsia="zh-CN"/>
        </w:rPr>
        <w:t>午10时携带有效身份证件到我局（广州市天河区临江大道3号14楼）接受监管谈话。</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b w:val="0"/>
          <w:spacing w:val="-6"/>
          <w:kern w:val="21"/>
          <w:sz w:val="32"/>
          <w:szCs w:val="20"/>
          <w:lang w:eastAsia="zh-CN"/>
        </w:rPr>
      </w:pPr>
      <w:r>
        <w:rPr>
          <w:rFonts w:hint="eastAsia" w:ascii="仿宋_GB2312" w:hAnsi="仿宋_GB2312" w:eastAsia="仿宋_GB2312" w:cs="仿宋_GB2312"/>
          <w:color w:val="000000"/>
          <w:sz w:val="32"/>
          <w:szCs w:val="32"/>
          <w:lang w:val="en-US" w:eastAsia="zh-CN"/>
        </w:rPr>
        <w:t>如果对本监督管理措施不服</w:t>
      </w:r>
      <w:r>
        <w:rPr>
          <w:rFonts w:hint="eastAsia" w:ascii="仿宋_GB2312" w:hAnsi="仿宋_GB2312" w:eastAsia="仿宋_GB2312"/>
          <w:b w:val="0"/>
          <w:spacing w:val="-6"/>
          <w:kern w:val="21"/>
          <w:sz w:val="32"/>
          <w:szCs w:val="20"/>
          <w:lang w:eastAsia="zh-CN"/>
        </w:rPr>
        <w:t>，可以在收到本决定书之日起60日内向中国证券监督管理委员会提出行政复议申请，也可以在收到本决定书之日起6个月内向有管辖权的人民法院提起诉讼。复议与诉讼期间，上述监督管理措施不停止执行。</w:t>
      </w: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1</w:t>
      </w:r>
      <w:r>
        <w:rPr>
          <w:rFonts w:hint="eastAsia" w:ascii="仿宋_GB2312" w:hAnsi="Times New Roman" w:eastAsia="仿宋_GB2312" w:cs="Times New Roman"/>
          <w:color w:val="000000"/>
          <w:spacing w:val="10"/>
          <w:sz w:val="32"/>
          <w:szCs w:val="32"/>
        </w:rPr>
        <w:t>月</w:t>
      </w:r>
      <w:r>
        <w:rPr>
          <w:rFonts w:hint="default" w:ascii="仿宋_GB2312" w:cs="Times New Roman"/>
          <w:color w:val="000000"/>
          <w:spacing w:val="10"/>
          <w:sz w:val="32"/>
          <w:szCs w:val="32"/>
          <w:lang w:val="en-US" w:eastAsia="zh-CN"/>
        </w:rPr>
        <w:t>23</w:t>
      </w:r>
      <w:r>
        <w:rPr>
          <w:rFonts w:hint="eastAsia" w:ascii="仿宋_GB2312" w:hAnsi="Times New Roman" w:eastAsia="仿宋_GB2312" w:cs="Times New Roman"/>
          <w:color w:val="000000"/>
          <w:spacing w:val="10"/>
          <w:sz w:val="32"/>
          <w:szCs w:val="32"/>
        </w:rPr>
        <w:t>日</w:t>
      </w: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snapToGrid w:val="0"/>
        <w:spacing w:line="300" w:lineRule="auto"/>
        <w:ind w:right="26"/>
        <w:jc w:val="left"/>
        <w:rPr>
          <w:rFonts w:hint="eastAsia" w:ascii="黑体" w:eastAsia="黑体"/>
          <w:spacing w:val="8"/>
          <w:sz w:val="21"/>
          <w:szCs w:val="18"/>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296" w:firstLineChars="100"/>
        <w:textAlignment w:val="auto"/>
        <w:rPr>
          <w:rFonts w:hint="eastAsia" w:ascii="仿宋_GB2312" w:eastAsia="仿宋_GB2312"/>
          <w:spacing w:val="8"/>
          <w:sz w:val="28"/>
        </w:rPr>
      </w:pPr>
      <w:r>
        <w:rPr>
          <w:rFonts w:hint="eastAsia" w:ascii="仿宋_GB2312" w:eastAsia="仿宋_GB2312"/>
          <w:spacing w:val="8"/>
          <w:sz w:val="28"/>
        </w:rPr>
        <w:t>抄送：证监会机构司、发行司、稽查局、法治司；深圳证监局；</w:t>
      </w: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1184" w:firstLineChars="400"/>
        <w:textAlignment w:val="auto"/>
        <w:rPr>
          <w:rFonts w:ascii="长城仿宋" w:eastAsia="长城仿宋"/>
          <w:sz w:val="28"/>
        </w:rPr>
      </w:pPr>
      <w:r>
        <w:rPr>
          <w:rFonts w:hint="eastAsia" w:ascii="仿宋_GB2312" w:eastAsia="仿宋_GB2312"/>
          <w:spacing w:val="8"/>
          <w:sz w:val="28"/>
        </w:rPr>
        <w:t>平安证券股份有限公司。</w:t>
      </w:r>
    </w:p>
    <w:p>
      <w:pPr>
        <w:keepNext w:val="0"/>
        <w:keepLines w:val="0"/>
        <w:pageBreakBefore w:val="0"/>
        <w:widowControl w:val="0"/>
        <w:pBdr>
          <w:top w:val="single" w:color="auto" w:sz="4" w:space="6"/>
        </w:pBdr>
        <w:kinsoku/>
        <w:wordWrap/>
        <w:overflowPunct/>
        <w:topLinePunct w:val="0"/>
        <w:autoSpaceDE/>
        <w:autoSpaceDN/>
        <w:bidi w:val="0"/>
        <w:adjustRightInd w:val="0"/>
        <w:snapToGrid w:val="0"/>
        <w:spacing w:after="109" w:afterLines="35"/>
        <w:ind w:firstLine="296" w:firstLineChars="100"/>
        <w:jc w:val="left"/>
        <w:textAlignment w:val="auto"/>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default" w:ascii="仿宋_GB2312" w:eastAsia="仿宋_GB2312"/>
          <w:spacing w:val="8"/>
          <w:sz w:val="28"/>
          <w:lang w:val="en-US"/>
        </w:rPr>
        <w:t xml:space="preserve">    </w:t>
      </w:r>
      <w:r>
        <w:rPr>
          <w:rFonts w:hint="eastAsia" w:ascii="仿宋_GB2312" w:eastAsia="仿宋_GB2312"/>
          <w:spacing w:val="8"/>
          <w:sz w:val="28"/>
        </w:rPr>
        <w:t xml:space="preserve"> </w:t>
      </w:r>
      <w:r>
        <w:rPr>
          <w:rFonts w:hint="default" w:ascii="仿宋_GB2312" w:eastAsia="仿宋_GB2312"/>
          <w:spacing w:val="8"/>
          <w:sz w:val="28"/>
          <w:lang w:val="en" w:eastAsia="zh-CN"/>
        </w:rPr>
        <w:t>202</w:t>
      </w:r>
      <w:r>
        <w:rPr>
          <w:rFonts w:hint="default" w:ascii="仿宋_GB2312" w:eastAsia="仿宋_GB2312"/>
          <w:spacing w:val="8"/>
          <w:sz w:val="28"/>
          <w:lang w:val="en-US" w:eastAsia="zh-CN"/>
        </w:rPr>
        <w:t>5</w:t>
      </w:r>
      <w:r>
        <w:rPr>
          <w:rFonts w:hint="eastAsia" w:ascii="仿宋_GB2312" w:eastAsia="仿宋_GB2312"/>
          <w:spacing w:val="8"/>
          <w:sz w:val="28"/>
        </w:rPr>
        <w:t>年</w:t>
      </w:r>
      <w:r>
        <w:rPr>
          <w:rFonts w:hint="default" w:ascii="仿宋_GB2312" w:eastAsia="仿宋_GB2312"/>
          <w:spacing w:val="8"/>
          <w:sz w:val="28"/>
          <w:lang w:val="en-US"/>
        </w:rPr>
        <w:t>1</w:t>
      </w:r>
      <w:r>
        <w:rPr>
          <w:rFonts w:hint="eastAsia" w:ascii="仿宋_GB2312" w:eastAsia="仿宋_GB2312"/>
          <w:spacing w:val="8"/>
          <w:sz w:val="28"/>
        </w:rPr>
        <w:t>月</w:t>
      </w:r>
      <w:r>
        <w:rPr>
          <w:rFonts w:hint="default" w:ascii="仿宋_GB2312" w:eastAsia="仿宋_GB2312"/>
          <w:spacing w:val="8"/>
          <w:sz w:val="28"/>
          <w:lang w:val="en-US"/>
        </w:rPr>
        <w:t>23</w:t>
      </w:r>
      <w:r>
        <w:rPr>
          <w:rFonts w:hint="eastAsia" w:ascii="仿宋_GB2312" w:eastAsia="仿宋_GB2312"/>
          <w:spacing w:val="8"/>
          <w:sz w:val="28"/>
        </w:rPr>
        <w:t>日印发</w:t>
      </w:r>
    </w:p>
    <w:p>
      <w:pPr>
        <w:keepNext w:val="0"/>
        <w:keepLines w:val="0"/>
        <w:pageBreakBefore w:val="0"/>
        <w:widowControl w:val="0"/>
        <w:pBdr>
          <w:top w:val="single" w:color="auto" w:sz="8" w:space="7"/>
        </w:pBdr>
        <w:kinsoku/>
        <w:wordWrap/>
        <w:overflowPunct/>
        <w:topLinePunct w:val="0"/>
        <w:autoSpaceDE/>
        <w:autoSpaceDN/>
        <w:bidi w:val="0"/>
        <w:adjustRightInd w:val="0"/>
        <w:snapToGrid w:val="0"/>
        <w:spacing w:beforeLines="0" w:afterLines="0" w:line="240" w:lineRule="auto"/>
        <w:ind w:firstLine="0"/>
        <w:jc w:val="left"/>
        <w:textAlignment w:val="auto"/>
        <w:rPr>
          <w:rFonts w:hint="eastAsia" w:ascii="仿宋_GB2312" w:eastAsia="仿宋_GB2312"/>
          <w:spacing w:val="8"/>
          <w:sz w:val="2"/>
          <w:szCs w:val="2"/>
        </w:rPr>
      </w:pPr>
    </w:p>
    <w:bookmarkEnd w:id="0"/>
    <w:p>
      <w:pPr>
        <w:snapToGrid w:val="0"/>
        <w:spacing w:beforeLines="0" w:afterLines="0"/>
        <w:rPr>
          <w:sz w:val="2"/>
          <w:szCs w:val="2"/>
        </w:rPr>
      </w:pPr>
    </w:p>
    <w:sectPr>
      <w:headerReference r:id="rId3" w:type="default"/>
      <w:footerReference r:id="rId4"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长城仿宋">
    <w:altName w:val="方正仿宋_GBK"/>
    <w:panose1 w:val="02010609000101010101"/>
    <w:charset w:val="00"/>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BB8B0"/>
    <w:rsid w:val="47FB4970"/>
    <w:rsid w:val="4FDEECD1"/>
    <w:rsid w:val="59D71DF3"/>
    <w:rsid w:val="5EF58B79"/>
    <w:rsid w:val="6EDF0E53"/>
    <w:rsid w:val="6FDFD51A"/>
    <w:rsid w:val="7B4BCA90"/>
    <w:rsid w:val="7BFBD376"/>
    <w:rsid w:val="7F7CD7E9"/>
    <w:rsid w:val="97A5882B"/>
    <w:rsid w:val="BB5F6B2B"/>
    <w:rsid w:val="EEFFEE9A"/>
    <w:rsid w:val="F5EF9562"/>
    <w:rsid w:val="F5FFFA98"/>
    <w:rsid w:val="F67FB4B3"/>
    <w:rsid w:val="F8BF8761"/>
    <w:rsid w:val="FDFBB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2025-01-18T10:16:00Z</dcterms:created>
  <dc:creator>丁美瑶</dc:creator>
  <cp:lastModifiedBy>丁美瑶</cp:lastModifiedBy>
  <dcterms:modified xsi:type="dcterms:W3CDTF">2025-01-24T10:49:43Z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1A61EAD743B1ADD0C7FF9267911C61F5</vt:lpwstr>
  </property>
</Properties>
</file>